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0065"/>
      </w:tblGrid>
      <w:tr w:rsidR="00BA69C9" w:rsidRPr="00EC2CE8" w:rsidTr="008045E1">
        <w:trPr>
          <w:trHeight w:val="7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9C9" w:rsidRPr="00A829BA" w:rsidRDefault="00BA69C9" w:rsidP="00BA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  <w:p w:rsidR="00BA69C9" w:rsidRPr="00A829BA" w:rsidRDefault="00BA69C9" w:rsidP="00BA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p w:rsidR="007A634C" w:rsidRPr="00A829BA" w:rsidRDefault="00537FF7" w:rsidP="008C3DA7">
            <w:pPr>
              <w:suppressAutoHyphens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Компания «Полиметалл» - является одним из лидеров по добыче драгоценных металлов. Динамичное развитие действующих, а также открытие и приобретение новых</w:t>
            </w:r>
            <w:r w:rsidR="008E3FEF" w:rsidRPr="00A829BA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  <w:r w:rsidRPr="00A829BA">
              <w:rPr>
                <w:rFonts w:ascii="Times New Roman" w:hAnsi="Times New Roman"/>
                <w:sz w:val="24"/>
                <w:szCs w:val="24"/>
              </w:rPr>
              <w:t xml:space="preserve"> обеспечива</w:t>
            </w:r>
            <w:r w:rsidR="008E3FEF" w:rsidRPr="00A829BA">
              <w:rPr>
                <w:rFonts w:ascii="Times New Roman" w:hAnsi="Times New Roman"/>
                <w:sz w:val="24"/>
                <w:szCs w:val="24"/>
              </w:rPr>
              <w:t>ю</w:t>
            </w:r>
            <w:r w:rsidRPr="00A829BA">
              <w:rPr>
                <w:rFonts w:ascii="Times New Roman" w:hAnsi="Times New Roman"/>
                <w:sz w:val="24"/>
                <w:szCs w:val="24"/>
              </w:rPr>
              <w:t xml:space="preserve">т регулярную потребность в </w:t>
            </w:r>
            <w:r w:rsidR="008E3FEF" w:rsidRPr="00A829BA">
              <w:rPr>
                <w:rFonts w:ascii="Times New Roman" w:hAnsi="Times New Roman"/>
                <w:sz w:val="24"/>
                <w:szCs w:val="24"/>
              </w:rPr>
              <w:t>поставках товаров, оказании услуг, выполнении работ</w:t>
            </w:r>
            <w:r w:rsidRPr="00A829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7130" w:rsidRPr="00A829BA">
              <w:rPr>
                <w:rFonts w:ascii="Times New Roman" w:hAnsi="Times New Roman"/>
                <w:sz w:val="24"/>
                <w:szCs w:val="24"/>
              </w:rPr>
              <w:t>Учитывая удаленность и специфику объектов</w:t>
            </w:r>
            <w:r w:rsidR="008E3FEF" w:rsidRPr="00A829BA">
              <w:rPr>
                <w:rFonts w:ascii="Times New Roman" w:hAnsi="Times New Roman"/>
                <w:sz w:val="24"/>
                <w:szCs w:val="24"/>
              </w:rPr>
              <w:t xml:space="preserve"> компании «Полиметалл»</w:t>
            </w:r>
            <w:r w:rsidR="00597130" w:rsidRPr="00A829BA">
              <w:rPr>
                <w:rFonts w:ascii="Times New Roman" w:hAnsi="Times New Roman"/>
                <w:sz w:val="24"/>
                <w:szCs w:val="24"/>
              </w:rPr>
              <w:t xml:space="preserve">, выбор квалифицированного и </w:t>
            </w:r>
            <w:r w:rsidR="00265774" w:rsidRPr="00A829BA">
              <w:rPr>
                <w:rFonts w:ascii="Times New Roman" w:hAnsi="Times New Roman"/>
                <w:sz w:val="24"/>
                <w:szCs w:val="24"/>
              </w:rPr>
              <w:t xml:space="preserve">надежного </w:t>
            </w:r>
            <w:r w:rsidR="008E3FEF" w:rsidRPr="00A829BA">
              <w:rPr>
                <w:rFonts w:ascii="Times New Roman" w:hAnsi="Times New Roman"/>
                <w:sz w:val="24"/>
                <w:szCs w:val="24"/>
              </w:rPr>
              <w:t xml:space="preserve">подрядчика, </w:t>
            </w:r>
            <w:r w:rsidR="00597130" w:rsidRPr="00A829BA">
              <w:rPr>
                <w:rFonts w:ascii="Times New Roman" w:hAnsi="Times New Roman"/>
                <w:sz w:val="24"/>
                <w:szCs w:val="24"/>
              </w:rPr>
              <w:t xml:space="preserve">становится приоритетной задачей </w:t>
            </w:r>
            <w:r w:rsidR="007A634C" w:rsidRPr="00A829BA">
              <w:rPr>
                <w:rFonts w:ascii="Times New Roman" w:hAnsi="Times New Roman"/>
                <w:sz w:val="24"/>
                <w:szCs w:val="24"/>
              </w:rPr>
              <w:t xml:space="preserve">при реализации текущих проектов. </w:t>
            </w:r>
          </w:p>
          <w:p w:rsidR="007A634C" w:rsidRPr="00A829BA" w:rsidRDefault="007A634C" w:rsidP="007A634C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Приглашаем Вас принять участие в процедуре предквалификации по направлению деятельности: </w:t>
            </w:r>
          </w:p>
          <w:p w:rsidR="007A634C" w:rsidRPr="00A829BA" w:rsidRDefault="007A634C" w:rsidP="007A634C">
            <w:pPr>
              <w:pStyle w:val="a7"/>
              <w:numPr>
                <w:ilvl w:val="0"/>
                <w:numId w:val="5"/>
              </w:numPr>
              <w:tabs>
                <w:tab w:val="left" w:pos="1027"/>
              </w:tabs>
              <w:suppressAutoHyphens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комплексные строительно-монтажные работы модульных зданий (склады, общежития, РММ).</w:t>
            </w:r>
          </w:p>
          <w:p w:rsidR="007A634C" w:rsidRPr="00A829BA" w:rsidRDefault="007A634C" w:rsidP="007A634C">
            <w:pPr>
              <w:suppressAutoHyphens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Процедура </w:t>
            </w:r>
            <w:proofErr w:type="spellStart"/>
            <w:r w:rsidRPr="00A829BA">
              <w:rPr>
                <w:rFonts w:ascii="Times New Roman" w:hAnsi="Times New Roman"/>
                <w:sz w:val="24"/>
                <w:szCs w:val="24"/>
              </w:rPr>
              <w:t>предквацификации</w:t>
            </w:r>
            <w:proofErr w:type="spellEnd"/>
            <w:r w:rsidRPr="00A829BA">
              <w:rPr>
                <w:rFonts w:ascii="Times New Roman" w:hAnsi="Times New Roman"/>
                <w:sz w:val="24"/>
                <w:szCs w:val="24"/>
              </w:rPr>
              <w:t xml:space="preserve"> направлена на расширение перечня потенциальных подрядчиков осуществляющих поставки товаров, оказание услуг, выполнение работ для нужд предприятий входящих в состав холдинга Полиметалл.</w:t>
            </w:r>
          </w:p>
          <w:p w:rsidR="007A634C" w:rsidRPr="00A829BA" w:rsidRDefault="007A634C" w:rsidP="007A634C">
            <w:pPr>
              <w:suppressAutoHyphens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Закупочные процедуры, соответствующие предмету настоящей предквалификации будут проводится только среди компаний включенных в реестр потенциальных подрядчиков, прошедших предквалификацию по направлению деятельности. Компании, прошедшие предквалификацию по направлению деятельности, будут приглашаться для участия в закупочных процедурах по соответствующему направлению деятельности в обязательном порядке.</w:t>
            </w:r>
          </w:p>
          <w:p w:rsidR="00BA69C9" w:rsidRPr="00A829BA" w:rsidRDefault="00BA69C9" w:rsidP="008C3DA7">
            <w:pPr>
              <w:suppressAutoHyphens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По результатам процедуры предквалификации принимается решении о включении, либо об отказе во включении участника процедуры в реестр потенциальных подрядчиков, отвечающих требованиям и потребностям заказчика.</w:t>
            </w:r>
          </w:p>
          <w:p w:rsidR="00BA69C9" w:rsidRPr="00A829BA" w:rsidRDefault="00BA69C9" w:rsidP="008713A0">
            <w:pPr>
              <w:suppressAutoHyphens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Заявка</w:t>
            </w:r>
            <w:r w:rsidR="008713A0" w:rsidRPr="00A829BA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 w:rsidRPr="00A829BA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proofErr w:type="spellStart"/>
            <w:r w:rsidRPr="00A829BA">
              <w:rPr>
                <w:rFonts w:ascii="Times New Roman" w:hAnsi="Times New Roman"/>
                <w:sz w:val="24"/>
                <w:szCs w:val="24"/>
              </w:rPr>
              <w:t>предкалификации</w:t>
            </w:r>
            <w:proofErr w:type="spellEnd"/>
            <w:r w:rsidRPr="00A829BA">
              <w:rPr>
                <w:rFonts w:ascii="Times New Roman" w:hAnsi="Times New Roman"/>
                <w:sz w:val="24"/>
                <w:szCs w:val="24"/>
              </w:rPr>
              <w:t xml:space="preserve"> предоставляется в соответствии с формой «</w:t>
            </w:r>
            <w:r w:rsidR="008713A0" w:rsidRPr="00A829B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Pr="00A829BA">
              <w:rPr>
                <w:rFonts w:ascii="Times New Roman" w:hAnsi="Times New Roman"/>
                <w:sz w:val="24"/>
                <w:szCs w:val="24"/>
              </w:rPr>
              <w:t>». Подробный перечень информации и документов, требуемых к предоставлению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 xml:space="preserve"> отражен в указанной форме.</w:t>
            </w:r>
          </w:p>
          <w:p w:rsidR="00F659B9" w:rsidRPr="00A829BA" w:rsidRDefault="00F659B9" w:rsidP="008C3DA7">
            <w:pPr>
              <w:suppressAutoHyphens/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9BA">
              <w:rPr>
                <w:rFonts w:ascii="Times New Roman" w:hAnsi="Times New Roman"/>
                <w:b/>
                <w:sz w:val="24"/>
                <w:szCs w:val="24"/>
              </w:rPr>
              <w:t>Основные условия проведения данной предквалификации:</w:t>
            </w:r>
          </w:p>
          <w:p w:rsidR="00F659B9" w:rsidRPr="00A829BA" w:rsidRDefault="00F659B9" w:rsidP="00CF22F8">
            <w:pPr>
              <w:pStyle w:val="a7"/>
              <w:numPr>
                <w:ilvl w:val="0"/>
                <w:numId w:val="4"/>
              </w:numPr>
              <w:tabs>
                <w:tab w:val="left" w:pos="1027"/>
              </w:tabs>
              <w:suppressAutoHyphens/>
              <w:spacing w:after="0"/>
              <w:ind w:left="34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="002D5A99" w:rsidRPr="00A829BA">
              <w:rPr>
                <w:rFonts w:ascii="Times New Roman" w:hAnsi="Times New Roman"/>
                <w:sz w:val="24"/>
                <w:szCs w:val="24"/>
              </w:rPr>
              <w:t>п</w:t>
            </w:r>
            <w:r w:rsidRPr="00A829BA">
              <w:rPr>
                <w:rFonts w:ascii="Times New Roman" w:hAnsi="Times New Roman"/>
                <w:sz w:val="24"/>
                <w:szCs w:val="24"/>
              </w:rPr>
              <w:t xml:space="preserve">редквалификации может любое юридическое лицо или индивидуальный предприниматель. Для включения в Реестр потенциальных подрядчиков </w:t>
            </w:r>
            <w:r w:rsidR="007A634C" w:rsidRPr="00A829BA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A829BA">
              <w:rPr>
                <w:rFonts w:ascii="Times New Roman" w:hAnsi="Times New Roman"/>
                <w:sz w:val="24"/>
                <w:szCs w:val="24"/>
              </w:rPr>
              <w:t>должен обладать следующей компетенцией:</w:t>
            </w:r>
          </w:p>
          <w:p w:rsidR="00CF22F8" w:rsidRPr="00A829BA" w:rsidRDefault="00CF22F8" w:rsidP="00CF22F8">
            <w:pPr>
              <w:tabs>
                <w:tab w:val="num" w:pos="2136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>Соответствовать требованиям законодательства Российской Федерации к лицам, осуществляющим поставки товаров, выполнение работ, оказание услуг;</w:t>
            </w:r>
          </w:p>
          <w:p w:rsidR="00CF22F8" w:rsidRPr="00A829BA" w:rsidRDefault="00CF22F8" w:rsidP="00CF22F8">
            <w:pPr>
              <w:tabs>
                <w:tab w:val="num" w:pos="2136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>Иметь положительную деловую репутацию;</w:t>
            </w:r>
          </w:p>
          <w:p w:rsidR="00CF22F8" w:rsidRPr="00A829BA" w:rsidRDefault="00CF22F8" w:rsidP="00CF22F8">
            <w:pPr>
              <w:tabs>
                <w:tab w:val="num" w:pos="2136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>Иметь устойчивое финансовое положение;</w:t>
            </w:r>
          </w:p>
          <w:p w:rsidR="00CF22F8" w:rsidRPr="00A829BA" w:rsidRDefault="00CF22F8" w:rsidP="00CF22F8">
            <w:pPr>
              <w:tabs>
                <w:tab w:val="num" w:pos="2136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 xml:space="preserve">Иметь опыт </w:t>
            </w:r>
            <w:r w:rsidR="008713A0" w:rsidRPr="00A829BA">
              <w:rPr>
                <w:rFonts w:ascii="Times New Roman" w:hAnsi="Times New Roman"/>
                <w:sz w:val="24"/>
                <w:szCs w:val="24"/>
              </w:rPr>
              <w:t xml:space="preserve">поставки товаров, оказания услуг,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>выполнения раб</w:t>
            </w:r>
            <w:r w:rsidR="002D5A99" w:rsidRPr="00A829BA">
              <w:rPr>
                <w:rFonts w:ascii="Times New Roman" w:hAnsi="Times New Roman"/>
                <w:sz w:val="24"/>
                <w:szCs w:val="24"/>
              </w:rPr>
              <w:t>от, которые являются предметом п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>редквалификации;</w:t>
            </w:r>
          </w:p>
          <w:p w:rsidR="00CF22F8" w:rsidRPr="00A829BA" w:rsidRDefault="00CF22F8" w:rsidP="00CF22F8">
            <w:pPr>
              <w:tabs>
                <w:tab w:val="num" w:pos="2136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 xml:space="preserve">Обеспечить качество </w:t>
            </w:r>
            <w:r w:rsidR="008713A0" w:rsidRPr="00A829BA">
              <w:rPr>
                <w:rFonts w:ascii="Times New Roman" w:hAnsi="Times New Roman"/>
                <w:sz w:val="24"/>
                <w:szCs w:val="24"/>
              </w:rPr>
              <w:t xml:space="preserve">товаров, оказания услуг,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>выполнения работ;</w:t>
            </w:r>
          </w:p>
          <w:p w:rsidR="00CF22F8" w:rsidRPr="00A829BA" w:rsidRDefault="00CF22F8" w:rsidP="00CF22F8">
            <w:pPr>
              <w:tabs>
                <w:tab w:val="num" w:pos="176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 xml:space="preserve">Обладать необходимой материально-технической базой и располагать достаточным количеством собственных кадров, обладающих соответствующей квалификацией для </w:t>
            </w:r>
            <w:r w:rsidR="008713A0" w:rsidRPr="00A829BA">
              <w:rPr>
                <w:rFonts w:ascii="Times New Roman" w:hAnsi="Times New Roman"/>
                <w:sz w:val="24"/>
                <w:szCs w:val="24"/>
              </w:rPr>
              <w:t xml:space="preserve">оказания услуг,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>выполнения работ;</w:t>
            </w:r>
          </w:p>
          <w:p w:rsidR="00CF22F8" w:rsidRPr="00A829BA" w:rsidRDefault="00CF22F8" w:rsidP="00CF22F8">
            <w:pPr>
              <w:tabs>
                <w:tab w:val="num" w:pos="2136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 xml:space="preserve">Иметь все необходимые разрешения и лицензии, в том числе допуски у персонала для </w:t>
            </w:r>
            <w:r w:rsidR="008713A0" w:rsidRPr="00A829BA">
              <w:rPr>
                <w:rFonts w:ascii="Times New Roman" w:hAnsi="Times New Roman"/>
                <w:sz w:val="24"/>
                <w:szCs w:val="24"/>
              </w:rPr>
              <w:t xml:space="preserve">оказания услуг,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>выполнения соответствующих работ.</w:t>
            </w:r>
          </w:p>
          <w:p w:rsidR="00F659B9" w:rsidRPr="00A829BA" w:rsidRDefault="00F659B9" w:rsidP="00CF22F8">
            <w:pPr>
              <w:pStyle w:val="a7"/>
              <w:numPr>
                <w:ilvl w:val="0"/>
                <w:numId w:val="4"/>
              </w:numPr>
              <w:tabs>
                <w:tab w:val="num" w:pos="1027"/>
              </w:tabs>
              <w:suppressAutoHyphens/>
              <w:spacing w:after="0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Предоставляя Заявку на участие в </w:t>
            </w:r>
            <w:proofErr w:type="gramStart"/>
            <w:r w:rsidRPr="00A829BA"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gramEnd"/>
            <w:r w:rsidRPr="00A82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07C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A829BA">
              <w:rPr>
                <w:rFonts w:ascii="Times New Roman" w:hAnsi="Times New Roman"/>
                <w:sz w:val="24"/>
                <w:szCs w:val="24"/>
              </w:rPr>
              <w:t>ик соглашается со следующими условиями:</w:t>
            </w:r>
          </w:p>
          <w:p w:rsidR="008C3DA7" w:rsidRPr="00A829BA" w:rsidRDefault="00CF22F8" w:rsidP="00CF22F8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>Заказчик вправе провести выездной т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 xml:space="preserve">ехнический аудит 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>на объекты, указанные участником предквалификации (офис, склады, производственные базы, объекты ранее выполненных работ</w:t>
            </w:r>
            <w:r w:rsidRPr="00A829BA">
              <w:rPr>
                <w:rFonts w:ascii="Times New Roman" w:hAnsi="Times New Roman"/>
                <w:sz w:val="24"/>
                <w:szCs w:val="24"/>
              </w:rPr>
              <w:t>, объекты субподрядных организаций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</w:p>
          <w:p w:rsidR="00F659B9" w:rsidRPr="00A829BA" w:rsidRDefault="00CF22F8" w:rsidP="00CF22F8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 xml:space="preserve">вправе запросить требуемую информацию о потенциальном подрядчике в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>ах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власти, а также 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F659B9" w:rsidRPr="00A829BA">
              <w:rPr>
                <w:rFonts w:ascii="Times New Roman" w:hAnsi="Times New Roman"/>
                <w:sz w:val="24"/>
                <w:szCs w:val="24"/>
              </w:rPr>
              <w:t xml:space="preserve">юридических и физических лиц, указанных в Заявке. </w:t>
            </w:r>
          </w:p>
          <w:p w:rsidR="008C3DA7" w:rsidRPr="00A829BA" w:rsidRDefault="00CF22F8" w:rsidP="00CF22F8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>Сотрудники потенциального подрядчика</w:t>
            </w:r>
            <w:r w:rsidR="002D5A99" w:rsidRPr="00A829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>редквалификации обязуются оказывать содействие представителям Заказчика в проведении технического аудита:</w:t>
            </w:r>
          </w:p>
          <w:p w:rsidR="008C3DA7" w:rsidRPr="00A829BA" w:rsidRDefault="00CF22F8" w:rsidP="008C3DA7">
            <w:pPr>
              <w:suppressAutoHyphens/>
              <w:spacing w:before="60" w:after="6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а)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 xml:space="preserve"> предоставлять необходимую информацию по вопросам осуществляемого аудита;</w:t>
            </w:r>
          </w:p>
          <w:p w:rsidR="008C3DA7" w:rsidRPr="00A829BA" w:rsidRDefault="00CF22F8" w:rsidP="008C3DA7">
            <w:pPr>
              <w:suppressAutoHyphens/>
              <w:spacing w:before="60" w:after="6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б)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 xml:space="preserve"> обеспечивать доступ представителям заказчика на территорию, в здания и иные объекты потенциального подрядчика;</w:t>
            </w:r>
          </w:p>
          <w:p w:rsidR="008C3DA7" w:rsidRPr="00A829BA" w:rsidRDefault="00CF22F8" w:rsidP="00CD3679">
            <w:pPr>
              <w:suppressAutoHyphens/>
              <w:spacing w:before="60" w:after="6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в)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 xml:space="preserve"> предоставлять помещения для работы комиссии, средства связи, оргтехнику, транспорт и др.</w:t>
            </w:r>
          </w:p>
          <w:p w:rsidR="00CF22F8" w:rsidRPr="00A829BA" w:rsidRDefault="007A634C" w:rsidP="00CF22F8">
            <w:pPr>
              <w:pStyle w:val="a7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2F8" w:rsidRPr="00A829BA">
              <w:rPr>
                <w:rFonts w:ascii="Times New Roman" w:hAnsi="Times New Roman"/>
                <w:sz w:val="24"/>
                <w:szCs w:val="24"/>
              </w:rPr>
              <w:t>вправе:</w:t>
            </w:r>
          </w:p>
          <w:p w:rsidR="008C3DA7" w:rsidRPr="00A829BA" w:rsidRDefault="00CF22F8" w:rsidP="00CF22F8">
            <w:pPr>
              <w:pStyle w:val="a7"/>
              <w:suppressAutoHyphens/>
              <w:spacing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-</w:t>
            </w:r>
            <w:r w:rsidR="008713A0" w:rsidRPr="00A829BA">
              <w:rPr>
                <w:rFonts w:ascii="Times New Roman" w:hAnsi="Times New Roman"/>
                <w:sz w:val="24"/>
                <w:szCs w:val="24"/>
              </w:rPr>
              <w:t xml:space="preserve"> вносить изменения в Д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>окументацию о предквалификации в любое время до истечения срока подачи Заявок.</w:t>
            </w:r>
          </w:p>
          <w:p w:rsidR="00347951" w:rsidRPr="00A829BA" w:rsidRDefault="00CF22F8" w:rsidP="00347951">
            <w:pPr>
              <w:pStyle w:val="a7"/>
              <w:suppressAutoHyphens/>
              <w:spacing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5A99" w:rsidRPr="00A829BA">
              <w:rPr>
                <w:rFonts w:ascii="Times New Roman" w:hAnsi="Times New Roman"/>
                <w:sz w:val="24"/>
                <w:szCs w:val="24"/>
              </w:rPr>
              <w:t>отказаться от проведения п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>редквалификации в любое время до подведения итогов, не неся никакой ответственности перед участниками или третьими лицами, которым такие действия могут принести убытки.</w:t>
            </w:r>
            <w:r w:rsidR="00347951" w:rsidRPr="00A82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DA7" w:rsidRPr="00A829BA" w:rsidRDefault="008713A0" w:rsidP="008C3DA7">
            <w:pPr>
              <w:tabs>
                <w:tab w:val="num" w:pos="2136"/>
              </w:tabs>
              <w:suppressAutoHyphens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4</w:t>
            </w:r>
            <w:r w:rsidR="00347951" w:rsidRPr="00A829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3DA7" w:rsidRPr="00A829BA">
              <w:rPr>
                <w:rFonts w:ascii="Times New Roman" w:hAnsi="Times New Roman"/>
                <w:sz w:val="24"/>
                <w:szCs w:val="24"/>
              </w:rPr>
              <w:t xml:space="preserve">Заявки рассматриваются в течение 60 рабочих дней. </w:t>
            </w:r>
          </w:p>
          <w:p w:rsidR="00CF22F8" w:rsidRDefault="008713A0" w:rsidP="002664AA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5</w:t>
            </w:r>
            <w:r w:rsidR="00CF22F8" w:rsidRPr="00A829BA">
              <w:rPr>
                <w:rFonts w:ascii="Times New Roman" w:hAnsi="Times New Roman"/>
                <w:sz w:val="24"/>
                <w:szCs w:val="24"/>
              </w:rPr>
              <w:t>. Предквалификация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  <w:p w:rsidR="00CD3679" w:rsidRDefault="00CD3679" w:rsidP="00CD36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679" w:rsidRDefault="00CD3679" w:rsidP="00CD36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Вашей заинтересованности в участии в данной Предквалификации просим </w:t>
            </w:r>
            <w:r w:rsidR="00FC034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документацию </w:t>
            </w:r>
            <w:r w:rsidR="00FC0340">
              <w:rPr>
                <w:rFonts w:ascii="Times New Roman" w:hAnsi="Times New Roman"/>
                <w:sz w:val="24"/>
                <w:szCs w:val="24"/>
              </w:rPr>
              <w:t xml:space="preserve">на электронную почту </w:t>
            </w:r>
            <w:r w:rsidR="00FC0340">
              <w:rPr>
                <w:rFonts w:ascii="Times New Roman" w:hAnsi="Times New Roman"/>
                <w:sz w:val="24"/>
                <w:szCs w:val="24"/>
                <w:lang w:val="en-US"/>
              </w:rPr>
              <w:t>RyskovSV</w:t>
            </w:r>
            <w:r w:rsidR="00FC0340" w:rsidRPr="00FC0340">
              <w:rPr>
                <w:rFonts w:ascii="Times New Roman" w:hAnsi="Times New Roman"/>
                <w:sz w:val="24"/>
                <w:szCs w:val="24"/>
              </w:rPr>
              <w:t>@</w:t>
            </w:r>
            <w:r w:rsidR="00FC0340">
              <w:rPr>
                <w:rFonts w:ascii="Times New Roman" w:hAnsi="Times New Roman"/>
                <w:sz w:val="24"/>
                <w:szCs w:val="24"/>
                <w:lang w:val="en-US"/>
              </w:rPr>
              <w:t>polymetal</w:t>
            </w:r>
            <w:r w:rsidR="00FC0340" w:rsidRPr="00FC0340">
              <w:rPr>
                <w:rFonts w:ascii="Times New Roman" w:hAnsi="Times New Roman"/>
                <w:sz w:val="24"/>
                <w:szCs w:val="24"/>
              </w:rPr>
              <w:t>.</w:t>
            </w:r>
            <w:r w:rsidR="00FC03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679" w:rsidRDefault="00CD3679" w:rsidP="002664AA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64AA" w:rsidRPr="00A829BA" w:rsidRDefault="002664AA" w:rsidP="002664AA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Перечень приложений:</w:t>
            </w:r>
          </w:p>
          <w:p w:rsidR="002664AA" w:rsidRPr="00A829BA" w:rsidRDefault="002664AA" w:rsidP="002664AA">
            <w:pPr>
              <w:pStyle w:val="a7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BA">
              <w:rPr>
                <w:rFonts w:ascii="Times New Roman" w:hAnsi="Times New Roman"/>
                <w:sz w:val="24"/>
                <w:szCs w:val="24"/>
              </w:rPr>
              <w:t>Форма для заполнения «Документация»</w:t>
            </w:r>
          </w:p>
          <w:p w:rsidR="00CF22F8" w:rsidRPr="00347951" w:rsidRDefault="00CF22F8" w:rsidP="0034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  <w:r w:rsidR="00266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направления З</w:t>
            </w:r>
            <w:r w:rsidR="007A634C" w:rsidRPr="0034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аявки на участие</w:t>
            </w:r>
            <w:r w:rsidRPr="0034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F22F8" w:rsidRDefault="00CF22F8" w:rsidP="0034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347951" w:rsidRDefault="00347951" w:rsidP="0034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347951" w:rsidRPr="00347951" w:rsidRDefault="00347951" w:rsidP="0034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  <w:p w:rsidR="00CF22F8" w:rsidRPr="00347951" w:rsidRDefault="00347951" w:rsidP="0034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  <w:p w:rsidR="002664AA" w:rsidRDefault="00CF22F8" w:rsidP="00CD3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34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  <w:p w:rsidR="005169C8" w:rsidRPr="00EC2CE8" w:rsidRDefault="005169C8" w:rsidP="00CD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CD3679" w:rsidRPr="00EC2CE8" w:rsidTr="008045E1">
        <w:trPr>
          <w:trHeight w:val="7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79" w:rsidRPr="00A829BA" w:rsidRDefault="00CD3679" w:rsidP="00BA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66BFB" w:rsidRDefault="00A21FAA"/>
    <w:sectPr w:rsidR="00566BFB" w:rsidSect="00BA69C9">
      <w:headerReference w:type="default" r:id="rId8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AA" w:rsidRDefault="00A21FAA" w:rsidP="00BA69C9">
      <w:pPr>
        <w:spacing w:after="0" w:line="240" w:lineRule="auto"/>
      </w:pPr>
      <w:r>
        <w:separator/>
      </w:r>
    </w:p>
  </w:endnote>
  <w:endnote w:type="continuationSeparator" w:id="0">
    <w:p w:rsidR="00A21FAA" w:rsidRDefault="00A21FAA" w:rsidP="00BA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AA" w:rsidRDefault="00A21FAA" w:rsidP="00BA69C9">
      <w:pPr>
        <w:spacing w:after="0" w:line="240" w:lineRule="auto"/>
      </w:pPr>
      <w:r>
        <w:separator/>
      </w:r>
    </w:p>
  </w:footnote>
  <w:footnote w:type="continuationSeparator" w:id="0">
    <w:p w:rsidR="00A21FAA" w:rsidRDefault="00A21FAA" w:rsidP="00BA69C9">
      <w:pPr>
        <w:spacing w:after="0" w:line="240" w:lineRule="auto"/>
      </w:pPr>
      <w:r>
        <w:continuationSeparator/>
      </w:r>
    </w:p>
  </w:footnote>
  <w:footnote w:id="1">
    <w:p w:rsidR="008713A0" w:rsidRDefault="008713A0">
      <w:pPr>
        <w:pStyle w:val="a8"/>
      </w:pPr>
      <w:r w:rsidRPr="00973914">
        <w:rPr>
          <w:rStyle w:val="aa"/>
          <w:highlight w:val="yellow"/>
        </w:rPr>
        <w:footnoteRef/>
      </w:r>
      <w:r w:rsidRPr="00973914">
        <w:rPr>
          <w:highlight w:val="yellow"/>
        </w:rPr>
        <w:t xml:space="preserve"> </w:t>
      </w:r>
      <w:r w:rsidRPr="00973914">
        <w:rPr>
          <w:rFonts w:ascii="Times New Roman" w:hAnsi="Times New Roman" w:cs="Times New Roman"/>
          <w:highlight w:val="yellow"/>
        </w:rPr>
        <w:t xml:space="preserve">Заявкой на участие является заполненная форма </w:t>
      </w:r>
      <w:r w:rsidR="00892210" w:rsidRPr="00973914">
        <w:rPr>
          <w:rFonts w:ascii="Times New Roman" w:hAnsi="Times New Roman" w:cs="Times New Roman"/>
          <w:highlight w:val="yellow"/>
        </w:rPr>
        <w:t>«Документация»,</w:t>
      </w:r>
      <w:r w:rsidRPr="00973914">
        <w:rPr>
          <w:rFonts w:ascii="Times New Roman" w:hAnsi="Times New Roman" w:cs="Times New Roman"/>
          <w:highlight w:val="yellow"/>
        </w:rPr>
        <w:t xml:space="preserve"> направленная в адрес </w:t>
      </w:r>
      <w:r w:rsidR="00892210" w:rsidRPr="00973914">
        <w:rPr>
          <w:rFonts w:ascii="Times New Roman" w:hAnsi="Times New Roman" w:cs="Times New Roman"/>
          <w:highlight w:val="yellow"/>
        </w:rPr>
        <w:t>контактного лица,</w:t>
      </w:r>
      <w:r w:rsidR="00973914" w:rsidRPr="00973914">
        <w:rPr>
          <w:rFonts w:ascii="Times New Roman" w:hAnsi="Times New Roman" w:cs="Times New Roman"/>
          <w:highlight w:val="yellow"/>
        </w:rPr>
        <w:t xml:space="preserve"> указанного в настоящем Извещении</w:t>
      </w:r>
      <w:r w:rsidR="00BB160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C9" w:rsidRDefault="00BA69C9">
    <w:pPr>
      <w:pStyle w:val="a3"/>
    </w:pPr>
  </w:p>
  <w:tbl>
    <w:tblPr>
      <w:tblW w:w="9923" w:type="dxa"/>
      <w:tblLook w:val="04A0" w:firstRow="1" w:lastRow="0" w:firstColumn="1" w:lastColumn="0" w:noHBand="0" w:noVBand="1"/>
    </w:tblPr>
    <w:tblGrid>
      <w:gridCol w:w="1317"/>
      <w:gridCol w:w="8606"/>
    </w:tblGrid>
    <w:tr w:rsidR="00BA69C9" w:rsidRPr="00EC2CE8" w:rsidTr="008045E1">
      <w:trPr>
        <w:trHeight w:val="605"/>
      </w:trPr>
      <w:tc>
        <w:tcPr>
          <w:tcW w:w="13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A69C9" w:rsidRPr="00EC2CE8" w:rsidRDefault="00BA69C9" w:rsidP="00BA69C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8"/>
          </w:tblGrid>
          <w:tr w:rsidR="00BA69C9" w:rsidRPr="00EC2CE8" w:rsidTr="008045E1">
            <w:trPr>
              <w:trHeight w:val="605"/>
              <w:tblCellSpacing w:w="0" w:type="dxa"/>
            </w:trPr>
            <w:tc>
              <w:tcPr>
                <w:tcW w:w="9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BA69C9" w:rsidRPr="00EC2CE8" w:rsidRDefault="00BA69C9" w:rsidP="00BA69C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</w:p>
            </w:tc>
          </w:tr>
        </w:tbl>
        <w:p w:rsidR="00BA69C9" w:rsidRPr="00EC2CE8" w:rsidRDefault="00BA69C9" w:rsidP="00BA69C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</w:p>
      </w:tc>
      <w:tc>
        <w:tcPr>
          <w:tcW w:w="8606" w:type="dxa"/>
          <w:vMerge w:val="restart"/>
          <w:tcBorders>
            <w:top w:val="nil"/>
            <w:left w:val="nil"/>
            <w:bottom w:val="single" w:sz="12" w:space="0" w:color="FFCC66"/>
            <w:right w:val="nil"/>
          </w:tcBorders>
          <w:shd w:val="clear" w:color="auto" w:fill="auto"/>
          <w:vAlign w:val="center"/>
          <w:hideMark/>
        </w:tcPr>
        <w:p w:rsidR="00BA69C9" w:rsidRPr="00265774" w:rsidRDefault="00BA69C9" w:rsidP="00BA69C9">
          <w:pPr>
            <w:spacing w:after="0" w:line="240" w:lineRule="auto"/>
            <w:ind w:firstLineChars="100" w:firstLine="200"/>
            <w:jc w:val="right"/>
            <w:rPr>
              <w:rFonts w:ascii="Arial" w:eastAsia="Times New Roman" w:hAnsi="Arial" w:cs="Arial"/>
              <w:bCs/>
              <w:color w:val="808080"/>
              <w:sz w:val="24"/>
              <w:szCs w:val="24"/>
              <w:lang w:eastAsia="ru-RU"/>
            </w:rPr>
          </w:pPr>
          <w:r w:rsidRPr="00265774">
            <w:rPr>
              <w:rFonts w:ascii="Calibri" w:eastAsia="Times New Roman" w:hAnsi="Calibri" w:cs="Calibri"/>
              <w:noProof/>
              <w:color w:val="000000"/>
              <w:sz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33A60363" wp14:editId="02DCC037">
                <wp:simplePos x="0" y="0"/>
                <wp:positionH relativeFrom="column">
                  <wp:posOffset>-1085850</wp:posOffset>
                </wp:positionH>
                <wp:positionV relativeFrom="paragraph">
                  <wp:posOffset>-44450</wp:posOffset>
                </wp:positionV>
                <wp:extent cx="2362200" cy="466725"/>
                <wp:effectExtent l="0" t="0" r="0" b="9525"/>
                <wp:wrapNone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5774">
            <w:rPr>
              <w:rFonts w:ascii="Arial" w:eastAsia="Times New Roman" w:hAnsi="Arial" w:cs="Arial"/>
              <w:bCs/>
              <w:color w:val="808080"/>
              <w:szCs w:val="24"/>
              <w:lang w:eastAsia="ru-RU"/>
            </w:rPr>
            <w:t>Извещение по процедуре Предквалификации</w:t>
          </w:r>
          <w:r w:rsidRPr="00265774">
            <w:rPr>
              <w:rFonts w:ascii="Arial" w:eastAsia="Times New Roman" w:hAnsi="Arial" w:cs="Arial"/>
              <w:bCs/>
              <w:color w:val="808080"/>
              <w:szCs w:val="24"/>
              <w:lang w:eastAsia="ru-RU"/>
            </w:rPr>
            <w:br/>
            <w:t xml:space="preserve">по направлению: "Комплексные строительно-монтажные </w:t>
          </w:r>
          <w:r w:rsidRPr="00265774">
            <w:rPr>
              <w:rFonts w:ascii="Arial" w:eastAsia="Times New Roman" w:hAnsi="Arial" w:cs="Arial"/>
              <w:bCs/>
              <w:color w:val="808080"/>
              <w:szCs w:val="24"/>
              <w:lang w:eastAsia="ru-RU"/>
            </w:rPr>
            <w:br/>
            <w:t xml:space="preserve">работы модульных зданий (склады, общежития, РММ)" </w:t>
          </w:r>
        </w:p>
      </w:tc>
    </w:tr>
    <w:tr w:rsidR="00BA69C9" w:rsidRPr="00EC2CE8" w:rsidTr="008045E1">
      <w:trPr>
        <w:trHeight w:val="605"/>
      </w:trPr>
      <w:tc>
        <w:tcPr>
          <w:tcW w:w="1317" w:type="dxa"/>
          <w:tcBorders>
            <w:top w:val="nil"/>
            <w:left w:val="nil"/>
            <w:bottom w:val="single" w:sz="12" w:space="0" w:color="FFCC66"/>
            <w:right w:val="nil"/>
          </w:tcBorders>
          <w:shd w:val="clear" w:color="auto" w:fill="auto"/>
          <w:noWrap/>
          <w:vAlign w:val="bottom"/>
          <w:hideMark/>
        </w:tcPr>
        <w:p w:rsidR="00BA69C9" w:rsidRPr="00EC2CE8" w:rsidRDefault="00BA69C9" w:rsidP="00BA69C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  <w:r w:rsidRPr="00EC2CE8">
            <w:rPr>
              <w:rFonts w:ascii="Calibri" w:eastAsia="Times New Roman" w:hAnsi="Calibri" w:cs="Calibri"/>
              <w:color w:val="000000"/>
              <w:lang w:eastAsia="ru-RU"/>
            </w:rPr>
            <w:t> </w:t>
          </w:r>
        </w:p>
      </w:tc>
      <w:tc>
        <w:tcPr>
          <w:tcW w:w="8606" w:type="dxa"/>
          <w:vMerge/>
          <w:tcBorders>
            <w:top w:val="nil"/>
            <w:left w:val="nil"/>
            <w:bottom w:val="single" w:sz="12" w:space="0" w:color="FFCC66"/>
            <w:right w:val="nil"/>
          </w:tcBorders>
          <w:vAlign w:val="center"/>
          <w:hideMark/>
        </w:tcPr>
        <w:p w:rsidR="00BA69C9" w:rsidRPr="00EC2CE8" w:rsidRDefault="00BA69C9" w:rsidP="00BA69C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24"/>
              <w:szCs w:val="24"/>
              <w:lang w:eastAsia="ru-RU"/>
            </w:rPr>
          </w:pPr>
        </w:p>
      </w:tc>
    </w:tr>
  </w:tbl>
  <w:p w:rsidR="00BA69C9" w:rsidRDefault="00BA69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79D42EE"/>
    <w:multiLevelType w:val="hybridMultilevel"/>
    <w:tmpl w:val="EBCEE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47F35"/>
    <w:multiLevelType w:val="hybridMultilevel"/>
    <w:tmpl w:val="258A69D6"/>
    <w:lvl w:ilvl="0" w:tplc="2D462F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29556E7F"/>
    <w:multiLevelType w:val="hybridMultilevel"/>
    <w:tmpl w:val="B71EAA50"/>
    <w:lvl w:ilvl="0" w:tplc="99C8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43CFC"/>
    <w:multiLevelType w:val="hybridMultilevel"/>
    <w:tmpl w:val="8F38F7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081490B"/>
    <w:multiLevelType w:val="hybridMultilevel"/>
    <w:tmpl w:val="8878FCC8"/>
    <w:lvl w:ilvl="0" w:tplc="CD8C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9"/>
    <w:rsid w:val="0010189B"/>
    <w:rsid w:val="00265774"/>
    <w:rsid w:val="002664AA"/>
    <w:rsid w:val="002D5A99"/>
    <w:rsid w:val="00301FF2"/>
    <w:rsid w:val="00347951"/>
    <w:rsid w:val="00412EA7"/>
    <w:rsid w:val="00487769"/>
    <w:rsid w:val="005169C8"/>
    <w:rsid w:val="00537FF7"/>
    <w:rsid w:val="00541D7C"/>
    <w:rsid w:val="00597130"/>
    <w:rsid w:val="006078C5"/>
    <w:rsid w:val="007743D3"/>
    <w:rsid w:val="007A634C"/>
    <w:rsid w:val="008713A0"/>
    <w:rsid w:val="00892210"/>
    <w:rsid w:val="008C3DA7"/>
    <w:rsid w:val="008E3FEF"/>
    <w:rsid w:val="009640D4"/>
    <w:rsid w:val="0096495D"/>
    <w:rsid w:val="00973914"/>
    <w:rsid w:val="009C7978"/>
    <w:rsid w:val="00A21FAA"/>
    <w:rsid w:val="00A829BA"/>
    <w:rsid w:val="00BA69C9"/>
    <w:rsid w:val="00BB1608"/>
    <w:rsid w:val="00C71B57"/>
    <w:rsid w:val="00CD3679"/>
    <w:rsid w:val="00CF22F8"/>
    <w:rsid w:val="00D10208"/>
    <w:rsid w:val="00D37332"/>
    <w:rsid w:val="00D6605E"/>
    <w:rsid w:val="00DB2C94"/>
    <w:rsid w:val="00E7707C"/>
    <w:rsid w:val="00EB19AF"/>
    <w:rsid w:val="00F659B9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4E4D0F-2D28-4640-89E2-83BCD5DF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C9"/>
  </w:style>
  <w:style w:type="paragraph" w:styleId="1">
    <w:name w:val="heading 1"/>
    <w:basedOn w:val="a"/>
    <w:next w:val="a"/>
    <w:link w:val="10"/>
    <w:qFormat/>
    <w:rsid w:val="00F659B9"/>
    <w:pPr>
      <w:keepNext/>
      <w:numPr>
        <w:numId w:val="1"/>
      </w:numPr>
      <w:spacing w:before="360" w:after="0" w:line="240" w:lineRule="auto"/>
      <w:ind w:right="284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a"/>
    <w:link w:val="20"/>
    <w:qFormat/>
    <w:rsid w:val="00F659B9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a"/>
    <w:link w:val="30"/>
    <w:qFormat/>
    <w:rsid w:val="00F659B9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a"/>
    <w:link w:val="40"/>
    <w:qFormat/>
    <w:rsid w:val="00F659B9"/>
    <w:pPr>
      <w:numPr>
        <w:ilvl w:val="3"/>
        <w:numId w:val="1"/>
      </w:numPr>
      <w:spacing w:before="240" w:after="0" w:line="240" w:lineRule="auto"/>
      <w:ind w:left="1135" w:hanging="851"/>
      <w:outlineLvl w:val="3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F659B9"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F659B9"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F659B9"/>
    <w:pPr>
      <w:numPr>
        <w:ilvl w:val="6"/>
        <w:numId w:val="1"/>
      </w:numPr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F659B9"/>
    <w:pPr>
      <w:numPr>
        <w:ilvl w:val="7"/>
        <w:numId w:val="1"/>
      </w:numPr>
      <w:spacing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F659B9"/>
    <w:pPr>
      <w:numPr>
        <w:ilvl w:val="8"/>
        <w:numId w:val="1"/>
      </w:numPr>
      <w:spacing w:after="6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9C9"/>
  </w:style>
  <w:style w:type="paragraph" w:styleId="a5">
    <w:name w:val="footer"/>
    <w:basedOn w:val="a"/>
    <w:link w:val="a6"/>
    <w:uiPriority w:val="99"/>
    <w:unhideWhenUsed/>
    <w:rsid w:val="00BA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9C9"/>
  </w:style>
  <w:style w:type="character" w:customStyle="1" w:styleId="10">
    <w:name w:val="Заголовок 1 Знак"/>
    <w:basedOn w:val="a0"/>
    <w:link w:val="1"/>
    <w:rsid w:val="00F659B9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F659B9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F659B9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F659B9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F659B9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F659B9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F659B9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F659B9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F659B9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7">
    <w:name w:val="List Paragraph"/>
    <w:basedOn w:val="a"/>
    <w:uiPriority w:val="34"/>
    <w:qFormat/>
    <w:rsid w:val="00F659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C3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13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13A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1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0DBD-75A6-44DD-B61A-565E4597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Александр Евгеньевич</dc:creator>
  <cp:keywords/>
  <dc:description/>
  <cp:lastModifiedBy>Рыськов Семён Вячеславович</cp:lastModifiedBy>
  <cp:revision>5</cp:revision>
  <dcterms:created xsi:type="dcterms:W3CDTF">2018-09-21T06:19:00Z</dcterms:created>
  <dcterms:modified xsi:type="dcterms:W3CDTF">2019-01-16T10:43:00Z</dcterms:modified>
</cp:coreProperties>
</file>